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trike w:val="0"/>
          <w:dstrike w:val="0"/>
          <w:color w:val="auto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trike w:val="0"/>
          <w:dstrike w:val="0"/>
          <w:color w:val="auto"/>
          <w:sz w:val="44"/>
          <w:szCs w:val="44"/>
          <w:lang w:eastAsia="zh-CN"/>
        </w:rPr>
        <w:t>行政许可事项实施规范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auto"/>
          <w:sz w:val="32"/>
          <w:szCs w:val="32"/>
          <w:lang w:eastAsia="zh-CN"/>
        </w:rPr>
        <w:t>（基本要素）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  <w:t>一、行政许可事项名称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法人或者其他组织需要利用属于国家秘密的基础测绘成果审批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1"/>
        <w:rPr>
          <w:rFonts w:hint="eastAsia" w:ascii="黑体" w:hAnsi="黑体" w:eastAsia="黑体" w:cs="黑体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  <w:t>主管部门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陇川县自然资源局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1"/>
        <w:rPr>
          <w:rFonts w:hint="eastAsia" w:ascii="黑体" w:hAnsi="黑体" w:eastAsia="黑体" w:cs="黑体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  <w:t>三、实施机关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陇川县自然资源局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1"/>
        <w:rPr>
          <w:rFonts w:hint="eastAsia" w:ascii="黑体" w:hAnsi="黑体" w:eastAsia="黑体" w:cs="黑体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  <w:t>四、设定和实施依据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《中华人民共和国测绘成果管理条例》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《涉密基础测绘成果提供使用管理办法》（自然资规〔2023〕3号）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  <w:t>五、子项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1"/>
      </w:pP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1.法人或者其他组织需要利用属于国家秘密的基础测绘成果审批（县级权限）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D20218"/>
    <w:multiLevelType w:val="singleLevel"/>
    <w:tmpl w:val="DED2021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1947CF"/>
    <w:rsid w:val="29265024"/>
    <w:rsid w:val="386F73DB"/>
    <w:rsid w:val="4A1947CF"/>
    <w:rsid w:val="529B0F12"/>
    <w:rsid w:val="555E38F1"/>
    <w:rsid w:val="572331A2"/>
    <w:rsid w:val="5BC157C7"/>
    <w:rsid w:val="7466224D"/>
    <w:rsid w:val="763F90EE"/>
    <w:rsid w:val="77FE2283"/>
    <w:rsid w:val="B27F53EA"/>
    <w:rsid w:val="FBBE7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2018-07-12T15:11:00Z</dcterms:created>
  <dc:creator>d</dc:creator>
  <cp:lastModifiedBy>普应华</cp:lastModifiedBy>
  <dcterms:modified xsi:type="dcterms:W3CDTF">2023-12-07T08:48:14Z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2AFB2083D0D648688C3D8D5EC241DDD8</vt:lpwstr>
  </property>
</Properties>
</file>